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251A1BD9" w:rsidR="00841AE4" w:rsidRPr="00FB0F83" w:rsidRDefault="000E4C07" w:rsidP="71AA3823">
      <w:pPr>
        <w:suppressAutoHyphens/>
        <w:jc w:val="center"/>
        <w:rPr>
          <w:rFonts w:ascii="Arial" w:eastAsia="Times New Roman" w:hAnsi="Arial" w:cs="Arial"/>
          <w:b/>
          <w:bCs/>
          <w:sz w:val="20"/>
          <w:szCs w:val="20"/>
        </w:rPr>
      </w:pPr>
      <w:r w:rsidRPr="000E4C07">
        <w:rPr>
          <w:rFonts w:ascii="Arial" w:eastAsia="Times New Roman" w:hAnsi="Arial" w:cs="Arial"/>
          <w:b/>
          <w:bCs/>
          <w:sz w:val="20"/>
          <w:szCs w:val="20"/>
        </w:rPr>
        <w:t>„Výměna venkovního osvětlení areálů SUS PK: Část 4 – Chrudimsko“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0E4C07"/>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761DE"/>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7055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25757"/>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886</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2025-09-23T11:09:00Z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